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F8EC" w14:textId="59872B18" w:rsidR="00054B77" w:rsidRPr="008A7B7D" w:rsidRDefault="00054B77" w:rsidP="00AF05D1">
      <w:pPr>
        <w:spacing w:after="0" w:line="240" w:lineRule="auto"/>
        <w:jc w:val="center"/>
        <w:rPr>
          <w:b/>
          <w:bCs/>
          <w:sz w:val="36"/>
          <w:szCs w:val="36"/>
        </w:rPr>
      </w:pPr>
      <w:r w:rsidRPr="008A7B7D">
        <w:rPr>
          <w:b/>
          <w:bCs/>
          <w:sz w:val="36"/>
          <w:szCs w:val="36"/>
        </w:rPr>
        <w:t>HON X98 Course Title</w:t>
      </w:r>
    </w:p>
    <w:p w14:paraId="134A60C4" w14:textId="0A857FBF" w:rsidR="00185CC4" w:rsidRDefault="00185CC4" w:rsidP="00054B77">
      <w:pPr>
        <w:jc w:val="center"/>
      </w:pPr>
      <w:r w:rsidRPr="00185CC4">
        <w:t>[The first digit in the course number is determined by the number of Modes the course carries.]</w:t>
      </w:r>
    </w:p>
    <w:p w14:paraId="2E88CA1B" w14:textId="7D4E30AB" w:rsidR="00185CC4" w:rsidRPr="00185CC4" w:rsidRDefault="00A62C14" w:rsidP="00A62C14">
      <w:pPr>
        <w:jc w:val="both"/>
      </w:pPr>
      <w:r>
        <w:t>If any of the</w:t>
      </w:r>
      <w:r w:rsidR="00AF05D1">
        <w:t xml:space="preserve"> following</w:t>
      </w:r>
      <w:r>
        <w:t xml:space="preserve"> sections are missing</w:t>
      </w:r>
      <w:r w:rsidR="00AF05D1">
        <w:t xml:space="preserve"> in your proposal</w:t>
      </w:r>
      <w:r>
        <w:t xml:space="preserve">, the Honors Council will </w:t>
      </w:r>
      <w:r w:rsidR="00AF05D1">
        <w:t>return</w:t>
      </w:r>
      <w:r>
        <w:t xml:space="preserve"> the proposal </w:t>
      </w:r>
      <w:r w:rsidR="00AF05D1">
        <w:t>with a request for additional</w:t>
      </w:r>
      <w:r>
        <w:t xml:space="preserve"> information.</w:t>
      </w:r>
    </w:p>
    <w:p w14:paraId="0D5A3BF1" w14:textId="435087E0" w:rsidR="00054B77" w:rsidRDefault="00054B77" w:rsidP="00054B77">
      <w:pPr>
        <w:rPr>
          <w:b/>
          <w:bCs/>
        </w:rPr>
      </w:pPr>
      <w:r w:rsidRPr="000B4CF2">
        <w:rPr>
          <w:b/>
          <w:bCs/>
        </w:rPr>
        <w:t>Instructor Name:</w:t>
      </w:r>
    </w:p>
    <w:p w14:paraId="2AC1CBAA" w14:textId="318F9BB8" w:rsidR="00185CC4" w:rsidRPr="00185CC4" w:rsidRDefault="00185CC4" w:rsidP="00054B77">
      <w:r>
        <w:rPr>
          <w:b/>
          <w:bCs/>
        </w:rPr>
        <w:t xml:space="preserve">Semester: </w:t>
      </w:r>
      <w:r>
        <w:t>[If you are requesting a specific semester]</w:t>
      </w:r>
    </w:p>
    <w:p w14:paraId="62B6904F" w14:textId="40380922" w:rsidR="00054B77" w:rsidRDefault="000B4CF2" w:rsidP="00054B77">
      <w:r w:rsidRPr="000B4CF2">
        <w:rPr>
          <w:b/>
          <w:bCs/>
        </w:rPr>
        <w:t>Format</w:t>
      </w:r>
      <w:r w:rsidR="00185CC4">
        <w:rPr>
          <w:b/>
          <w:bCs/>
        </w:rPr>
        <w:t>:</w:t>
      </w:r>
      <w:r>
        <w:t xml:space="preserve"> </w:t>
      </w:r>
      <w:r w:rsidR="00185CC4">
        <w:t>[</w:t>
      </w:r>
      <w:r>
        <w:t xml:space="preserve">On Campus, Online Asynchronous, Online Synchronous, </w:t>
      </w:r>
      <w:r w:rsidR="00185CC4">
        <w:t xml:space="preserve">or </w:t>
      </w:r>
      <w:r>
        <w:t>Hybrid</w:t>
      </w:r>
      <w:r w:rsidR="00185CC4">
        <w:t>]</w:t>
      </w:r>
    </w:p>
    <w:p w14:paraId="182D08AE" w14:textId="5E833173" w:rsidR="375C8D61" w:rsidRDefault="0DF3767D" w:rsidP="375C8D61">
      <w:pPr>
        <w:rPr>
          <w:b/>
          <w:bCs/>
        </w:rPr>
      </w:pPr>
      <w:r w:rsidRPr="68A51435">
        <w:rPr>
          <w:b/>
          <w:bCs/>
        </w:rPr>
        <w:t>Rationale</w:t>
      </w:r>
    </w:p>
    <w:p w14:paraId="4CE86A15" w14:textId="6ADC22B1" w:rsidR="27CB6E71" w:rsidRDefault="0DF3767D" w:rsidP="27CB6E71">
      <w:r>
        <w:t xml:space="preserve">Please describe in a paragraph or two the rationale behind the design of this course. </w:t>
      </w:r>
      <w:r w:rsidR="0658CE87">
        <w:t>Questions the Honors Council will be thinking about when they review the course include</w:t>
      </w:r>
      <w:r>
        <w:t>:</w:t>
      </w:r>
    </w:p>
    <w:p w14:paraId="547EA466" w14:textId="4158884F" w:rsidR="0676305F" w:rsidRDefault="5490FFC4" w:rsidP="14EE8127">
      <w:pPr>
        <w:pStyle w:val="ListParagraph"/>
        <w:numPr>
          <w:ilvl w:val="0"/>
          <w:numId w:val="1"/>
        </w:numPr>
      </w:pPr>
      <w:r>
        <w:t>How will this course appeal to students from multiple majors?</w:t>
      </w:r>
    </w:p>
    <w:p w14:paraId="3DC11150" w14:textId="63EA4BC3" w:rsidR="64B40DCB" w:rsidRDefault="64B40DCB" w:rsidP="5F912808">
      <w:pPr>
        <w:pStyle w:val="ListParagraph"/>
        <w:numPr>
          <w:ilvl w:val="0"/>
          <w:numId w:val="1"/>
        </w:numPr>
      </w:pPr>
      <w:r>
        <w:t>How is interdisciplinary inquiry incorporated into the course (including but not limited to use of the Modes of Inquiry)?</w:t>
      </w:r>
    </w:p>
    <w:p w14:paraId="6C973EAF" w14:textId="75C79DCD" w:rsidR="64B40DCB" w:rsidRDefault="64B40DCB" w:rsidP="5F912808">
      <w:pPr>
        <w:pStyle w:val="ListParagraph"/>
        <w:numPr>
          <w:ilvl w:val="0"/>
          <w:numId w:val="1"/>
        </w:numPr>
      </w:pPr>
      <w:r>
        <w:t>In what ways will this course address the needs or interests of students in the Kathwari Honors Program?</w:t>
      </w:r>
    </w:p>
    <w:p w14:paraId="7C7D65B5" w14:textId="06B30B06" w:rsidR="000B4CF2" w:rsidRPr="000B4CF2" w:rsidRDefault="000B4CF2" w:rsidP="00054B77">
      <w:pPr>
        <w:rPr>
          <w:b/>
          <w:bCs/>
        </w:rPr>
      </w:pPr>
      <w:r w:rsidRPr="000B4CF2">
        <w:rPr>
          <w:b/>
          <w:bCs/>
        </w:rPr>
        <w:t>Course Description</w:t>
      </w:r>
    </w:p>
    <w:p w14:paraId="0D3B0686" w14:textId="68B899D1" w:rsidR="002B5561" w:rsidRPr="00D452D2" w:rsidRDefault="000B4CF2" w:rsidP="00054B77">
      <w:r>
        <w:t xml:space="preserve">Please </w:t>
      </w:r>
      <w:r w:rsidR="00185CC4">
        <w:t xml:space="preserve">provide </w:t>
      </w:r>
      <w:r>
        <w:t xml:space="preserve">a high-level description that the Registrar can </w:t>
      </w:r>
      <w:r w:rsidR="00185CC4">
        <w:t xml:space="preserve">associate with the course in </w:t>
      </w:r>
      <w:proofErr w:type="spellStart"/>
      <w:r w:rsidR="00185CC4">
        <w:t>OpenClose</w:t>
      </w:r>
      <w:proofErr w:type="spellEnd"/>
      <w:r>
        <w:t>. If you feel you should provide more detailed description of the course for the benefit of the Honors Council or the students, please do so in subsequent paragraphs.</w:t>
      </w:r>
      <w:r w:rsidR="002B5561">
        <w:t xml:space="preserve"> </w:t>
      </w:r>
      <w:r w:rsidR="00AF05D1">
        <w:t>Indicate whether</w:t>
      </w:r>
      <w:r w:rsidR="002B5561">
        <w:t xml:space="preserve"> the course includes travel, field trips, other offsite experiences, </w:t>
      </w:r>
      <w:r w:rsidR="00A62C14">
        <w:t xml:space="preserve">guest speakers, hands-on learning experiences, </w:t>
      </w:r>
      <w:proofErr w:type="gramStart"/>
      <w:r w:rsidR="00A62C14">
        <w:t>etc.</w:t>
      </w:r>
      <w:r w:rsidR="002B5561">
        <w:t>.</w:t>
      </w:r>
      <w:proofErr w:type="gramEnd"/>
    </w:p>
    <w:p w14:paraId="49241578" w14:textId="1E6F5C9C" w:rsidR="000B4CF2" w:rsidRPr="00993915" w:rsidRDefault="00993915" w:rsidP="00054B77">
      <w:pPr>
        <w:rPr>
          <w:b/>
          <w:bCs/>
        </w:rPr>
      </w:pPr>
      <w:r w:rsidRPr="00993915">
        <w:rPr>
          <w:b/>
          <w:bCs/>
        </w:rPr>
        <w:t>Modes of Inquiry</w:t>
      </w:r>
    </w:p>
    <w:p w14:paraId="1A137762" w14:textId="378FAD24" w:rsidR="00993915" w:rsidRDefault="00993915" w:rsidP="00054B77">
      <w:r>
        <w:t xml:space="preserve">Please list two or three Honors Modes of Inquiry that your course will address. The Honors Council prefers not to approve four modes for a course, but you may request up to four modes if you feel they are especially appropriate for your course. Please specify exactly how your course will address each mode. Please find the Modes of Inquiry listed and defined at </w:t>
      </w:r>
      <w:proofErr w:type="gramStart"/>
      <w:r w:rsidR="002B5561" w:rsidRPr="002B5561">
        <w:t>https://www.wcsu.edu/honors/honors-classes-and-modes-of-inquiries/</w:t>
      </w:r>
      <w:proofErr w:type="gramEnd"/>
    </w:p>
    <w:p w14:paraId="01283281" w14:textId="629878A1" w:rsidR="00D452D2" w:rsidRDefault="00D452D2" w:rsidP="000B4CF2">
      <w:pPr>
        <w:rPr>
          <w:b/>
          <w:bCs/>
        </w:rPr>
      </w:pPr>
      <w:r>
        <w:rPr>
          <w:b/>
          <w:bCs/>
        </w:rPr>
        <w:t>Course Objectives</w:t>
      </w:r>
    </w:p>
    <w:p w14:paraId="7A08EE9F" w14:textId="5D0E809E" w:rsidR="00D452D2" w:rsidRPr="00D452D2" w:rsidRDefault="00D452D2" w:rsidP="000B4CF2">
      <w:r>
        <w:t>List at least four course objectives and relate them to Modes of Inquiry.</w:t>
      </w:r>
    </w:p>
    <w:p w14:paraId="1E40CDA3" w14:textId="33BD530F" w:rsidR="000B4CF2" w:rsidRPr="000B4CF2" w:rsidRDefault="000B4CF2" w:rsidP="000B4CF2">
      <w:pPr>
        <w:rPr>
          <w:b/>
          <w:bCs/>
        </w:rPr>
      </w:pPr>
      <w:r w:rsidRPr="000B4CF2">
        <w:rPr>
          <w:b/>
          <w:bCs/>
        </w:rPr>
        <w:t>Student Learning Outcomes</w:t>
      </w:r>
    </w:p>
    <w:p w14:paraId="524AD0DF" w14:textId="51EFAADB" w:rsidR="000B4CF2" w:rsidRDefault="000B4CF2" w:rsidP="000B4CF2">
      <w:r>
        <w:t xml:space="preserve">Please list four to six essential learning outcomes for the </w:t>
      </w:r>
      <w:r w:rsidR="00D452D2">
        <w:t>course and relate them to Modes of Inquiry.</w:t>
      </w:r>
    </w:p>
    <w:p w14:paraId="4E618F20" w14:textId="602FFF2B" w:rsidR="00D452D2" w:rsidRPr="00D452D2" w:rsidRDefault="00D452D2" w:rsidP="000B4CF2">
      <w:pPr>
        <w:rPr>
          <w:b/>
          <w:bCs/>
        </w:rPr>
      </w:pPr>
      <w:r w:rsidRPr="00D452D2">
        <w:rPr>
          <w:b/>
          <w:bCs/>
        </w:rPr>
        <w:t>Weekly Plan or Full-Semester Schedule</w:t>
      </w:r>
    </w:p>
    <w:p w14:paraId="0506CD1A" w14:textId="5852EE97" w:rsidR="00D452D2" w:rsidRDefault="00D452D2" w:rsidP="000B4CF2">
      <w:r>
        <w:t>Provide a summary of weekly topics and assignments—this does not have to be a final draft but should provide the Council with a reliable sense of the run of the course. You may include required, suggested, or sample texts if you like.</w:t>
      </w:r>
    </w:p>
    <w:p w14:paraId="50E6730E" w14:textId="64B01DFD" w:rsidR="00185CC4" w:rsidRDefault="00185CC4" w:rsidP="5F912808">
      <w:pPr>
        <w:keepNext/>
        <w:rPr>
          <w:b/>
          <w:bCs/>
        </w:rPr>
      </w:pPr>
      <w:r w:rsidRPr="5F912808">
        <w:rPr>
          <w:b/>
          <w:bCs/>
        </w:rPr>
        <w:lastRenderedPageBreak/>
        <w:t>Assignments</w:t>
      </w:r>
    </w:p>
    <w:p w14:paraId="3F303169" w14:textId="32861913" w:rsidR="00185CC4" w:rsidRPr="00185CC4" w:rsidRDefault="00185CC4" w:rsidP="000B4CF2">
      <w:r>
        <w:t>If they are not included in the Weekly Plan, please provide descriptions of required assignments.</w:t>
      </w:r>
    </w:p>
    <w:p w14:paraId="2D945320" w14:textId="11D91AD1" w:rsidR="00D452D2" w:rsidRPr="00D452D2" w:rsidRDefault="00D452D2" w:rsidP="000B4CF2">
      <w:pPr>
        <w:rPr>
          <w:b/>
          <w:bCs/>
        </w:rPr>
      </w:pPr>
      <w:r w:rsidRPr="00D452D2">
        <w:rPr>
          <w:b/>
          <w:bCs/>
        </w:rPr>
        <w:t>Evaluation</w:t>
      </w:r>
    </w:p>
    <w:p w14:paraId="7D322645" w14:textId="34EBADB0" w:rsidR="00B811D0" w:rsidRDefault="00D452D2" w:rsidP="000B4CF2">
      <w:r>
        <w:t>Please describe how final grades will be determined. The Honors Council recommends that least 20% of the final grade revolve around class participation.</w:t>
      </w:r>
    </w:p>
    <w:p w14:paraId="5073128D" w14:textId="77777777" w:rsidR="00B811D0" w:rsidRDefault="00B811D0">
      <w:r>
        <w:br w:type="page"/>
      </w:r>
    </w:p>
    <w:p w14:paraId="7F2F8872" w14:textId="77777777" w:rsidR="00C60142" w:rsidRDefault="00C60142" w:rsidP="00C60142">
      <w:pPr>
        <w:jc w:val="center"/>
        <w:rPr>
          <w:rFonts w:eastAsiaTheme="minorEastAsia"/>
          <w:b/>
          <w:bCs/>
          <w:sz w:val="36"/>
          <w:szCs w:val="36"/>
        </w:rPr>
      </w:pPr>
      <w:r w:rsidRPr="68C1A729">
        <w:rPr>
          <w:rFonts w:eastAsiaTheme="minorEastAsia"/>
          <w:b/>
          <w:bCs/>
          <w:sz w:val="36"/>
          <w:szCs w:val="36"/>
        </w:rPr>
        <w:lastRenderedPageBreak/>
        <w:t>Honors Modes of Inquiry</w:t>
      </w:r>
    </w:p>
    <w:p w14:paraId="5D928B67" w14:textId="77777777" w:rsidR="00C60142" w:rsidRDefault="00C60142" w:rsidP="00C60142">
      <w:pPr>
        <w:spacing w:after="120" w:line="240" w:lineRule="auto"/>
        <w:rPr>
          <w:b/>
          <w:bCs/>
          <w:sz w:val="28"/>
          <w:szCs w:val="28"/>
        </w:rPr>
      </w:pPr>
      <w:r w:rsidRPr="68C1A729">
        <w:rPr>
          <w:rFonts w:eastAsiaTheme="minorEastAsia"/>
          <w:b/>
          <w:bCs/>
          <w:sz w:val="28"/>
          <w:szCs w:val="28"/>
        </w:rPr>
        <w:t>Artistic Creation</w:t>
      </w:r>
    </w:p>
    <w:p w14:paraId="59FAD059" w14:textId="77777777" w:rsidR="00C60142" w:rsidRDefault="00C60142" w:rsidP="00C60142">
      <w:pPr>
        <w:spacing w:after="120" w:line="240" w:lineRule="auto"/>
      </w:pPr>
      <w:r w:rsidRPr="68C1A729">
        <w:rPr>
          <w:rFonts w:eastAsiaTheme="minorEastAsia"/>
        </w:rPr>
        <w:t>Inquiry through the process of artistic creation or performance of theater, art, literature, music, sculpture, cinema, or other artistic activity.</w:t>
      </w:r>
    </w:p>
    <w:p w14:paraId="0617CFAF" w14:textId="77777777" w:rsidR="00C60142" w:rsidRDefault="00C60142" w:rsidP="00C60142">
      <w:pPr>
        <w:spacing w:after="120" w:line="240" w:lineRule="auto"/>
        <w:rPr>
          <w:b/>
          <w:bCs/>
          <w:sz w:val="28"/>
          <w:szCs w:val="28"/>
        </w:rPr>
      </w:pPr>
      <w:r w:rsidRPr="68C1A729">
        <w:rPr>
          <w:rFonts w:eastAsiaTheme="minorEastAsia"/>
          <w:b/>
          <w:bCs/>
          <w:sz w:val="28"/>
          <w:szCs w:val="28"/>
        </w:rPr>
        <w:t>Critical Analysis</w:t>
      </w:r>
    </w:p>
    <w:p w14:paraId="5A872EE2" w14:textId="77777777" w:rsidR="00C60142" w:rsidRDefault="00C60142" w:rsidP="00C60142">
      <w:pPr>
        <w:spacing w:after="120" w:line="240" w:lineRule="auto"/>
      </w:pPr>
      <w:r w:rsidRPr="68C1A729">
        <w:rPr>
          <w:rFonts w:eastAsiaTheme="minorEastAsia"/>
        </w:rPr>
        <w:t xml:space="preserve">Inquiry into the various ways in which a text conveys meaning or people derive meaning from a text (viewed broadly to include written work, visual art, music, popular culture, ritual, symbol, cinema, etc.). </w:t>
      </w:r>
    </w:p>
    <w:p w14:paraId="0F1E8ACB" w14:textId="77777777" w:rsidR="00C60142" w:rsidRDefault="00C60142" w:rsidP="00C60142">
      <w:pPr>
        <w:spacing w:after="120" w:line="240" w:lineRule="auto"/>
        <w:rPr>
          <w:b/>
          <w:bCs/>
          <w:sz w:val="28"/>
          <w:szCs w:val="28"/>
        </w:rPr>
      </w:pPr>
      <w:r w:rsidRPr="68C1A729">
        <w:rPr>
          <w:rFonts w:eastAsiaTheme="minorEastAsia"/>
          <w:b/>
          <w:bCs/>
          <w:sz w:val="28"/>
          <w:szCs w:val="28"/>
        </w:rPr>
        <w:t>Entrepreneurship and Innovation</w:t>
      </w:r>
    </w:p>
    <w:p w14:paraId="21BF366F" w14:textId="77777777" w:rsidR="00C60142" w:rsidRDefault="00C60142" w:rsidP="00C60142">
      <w:pPr>
        <w:spacing w:after="120" w:line="240" w:lineRule="auto"/>
      </w:pPr>
      <w:r w:rsidRPr="68C1A729">
        <w:rPr>
          <w:rFonts w:eastAsiaTheme="minorEastAsia"/>
        </w:rPr>
        <w:t>Inquiry into start-up mindset, creativity in problem-solving, and risk-taking for personal or public progress.</w:t>
      </w:r>
    </w:p>
    <w:p w14:paraId="3F980C01" w14:textId="77777777" w:rsidR="00C60142" w:rsidRDefault="00C60142" w:rsidP="00C60142">
      <w:pPr>
        <w:spacing w:after="120" w:line="240" w:lineRule="auto"/>
        <w:rPr>
          <w:b/>
          <w:bCs/>
          <w:sz w:val="28"/>
          <w:szCs w:val="28"/>
        </w:rPr>
      </w:pPr>
      <w:r w:rsidRPr="68C1A729">
        <w:rPr>
          <w:rFonts w:eastAsiaTheme="minorEastAsia"/>
          <w:b/>
          <w:bCs/>
          <w:sz w:val="28"/>
          <w:szCs w:val="28"/>
        </w:rPr>
        <w:t>Equity and Belonging</w:t>
      </w:r>
    </w:p>
    <w:p w14:paraId="4711475F" w14:textId="77777777" w:rsidR="00C60142" w:rsidRDefault="00C60142" w:rsidP="00C60142">
      <w:pPr>
        <w:spacing w:after="120" w:line="240" w:lineRule="auto"/>
      </w:pPr>
      <w:r w:rsidRPr="68C1A729">
        <w:rPr>
          <w:rFonts w:eastAsiaTheme="minorEastAsia"/>
        </w:rPr>
        <w:t>Inquiry into the history, progress, and/or current practice of ensuring equity and belonging to all members of a group, organization, nation, or other community.</w:t>
      </w:r>
    </w:p>
    <w:p w14:paraId="7CEBEC83" w14:textId="77777777" w:rsidR="00C60142" w:rsidRDefault="00C60142" w:rsidP="00C60142">
      <w:pPr>
        <w:spacing w:after="120" w:line="240" w:lineRule="auto"/>
        <w:rPr>
          <w:b/>
          <w:bCs/>
          <w:sz w:val="28"/>
          <w:szCs w:val="28"/>
        </w:rPr>
      </w:pPr>
      <w:r w:rsidRPr="68C1A729">
        <w:rPr>
          <w:rFonts w:eastAsiaTheme="minorEastAsia"/>
          <w:b/>
          <w:bCs/>
          <w:sz w:val="28"/>
          <w:szCs w:val="28"/>
        </w:rPr>
        <w:t>Ethics</w:t>
      </w:r>
    </w:p>
    <w:p w14:paraId="01DD581A" w14:textId="77777777" w:rsidR="00C60142" w:rsidRDefault="00C60142" w:rsidP="00C60142">
      <w:pPr>
        <w:spacing w:after="120" w:line="240" w:lineRule="auto"/>
      </w:pPr>
      <w:r w:rsidRPr="68C1A729">
        <w:rPr>
          <w:rFonts w:eastAsiaTheme="minorEastAsia"/>
        </w:rPr>
        <w:t>Inquiry into the values and principles that guide the interactions of such entities as individuals, communities, corporations, organizations, and governments in public and personal environments.</w:t>
      </w:r>
    </w:p>
    <w:p w14:paraId="23899053" w14:textId="77777777" w:rsidR="00C60142" w:rsidRDefault="00C60142" w:rsidP="00C60142">
      <w:pPr>
        <w:spacing w:after="120" w:line="240" w:lineRule="auto"/>
        <w:rPr>
          <w:b/>
          <w:bCs/>
          <w:sz w:val="28"/>
          <w:szCs w:val="28"/>
        </w:rPr>
      </w:pPr>
      <w:r w:rsidRPr="68C1A729">
        <w:rPr>
          <w:rFonts w:eastAsiaTheme="minorEastAsia"/>
          <w:b/>
          <w:bCs/>
          <w:sz w:val="28"/>
          <w:szCs w:val="28"/>
        </w:rPr>
        <w:t>Historical, Social and Cultural Analysis</w:t>
      </w:r>
    </w:p>
    <w:p w14:paraId="6F728071" w14:textId="77777777" w:rsidR="00C60142" w:rsidRDefault="00C60142" w:rsidP="00C60142">
      <w:pPr>
        <w:spacing w:after="120" w:line="240" w:lineRule="auto"/>
      </w:pPr>
      <w:r w:rsidRPr="68C1A729">
        <w:rPr>
          <w:rFonts w:eastAsiaTheme="minorEastAsia"/>
        </w:rPr>
        <w:t>Inquiry that examines how an event or phenomenon is shaped by history, society, or culture.</w:t>
      </w:r>
    </w:p>
    <w:p w14:paraId="16B65A0D" w14:textId="77777777" w:rsidR="00C60142" w:rsidRDefault="00C60142" w:rsidP="00C60142">
      <w:pPr>
        <w:spacing w:after="120" w:line="240" w:lineRule="auto"/>
        <w:rPr>
          <w:b/>
          <w:bCs/>
          <w:sz w:val="28"/>
          <w:szCs w:val="28"/>
        </w:rPr>
      </w:pPr>
      <w:r w:rsidRPr="68C1A729">
        <w:rPr>
          <w:rFonts w:eastAsiaTheme="minorEastAsia"/>
          <w:b/>
          <w:bCs/>
          <w:sz w:val="28"/>
          <w:szCs w:val="28"/>
        </w:rPr>
        <w:t>Leadership, Collaboration, and Team-Based Learning</w:t>
      </w:r>
    </w:p>
    <w:p w14:paraId="6CA966E2" w14:textId="77777777" w:rsidR="00C60142" w:rsidRDefault="00C60142" w:rsidP="00C60142">
      <w:pPr>
        <w:spacing w:after="120" w:line="240" w:lineRule="auto"/>
      </w:pPr>
      <w:r w:rsidRPr="68C1A729">
        <w:rPr>
          <w:rFonts w:eastAsiaTheme="minorEastAsia"/>
        </w:rPr>
        <w:t>Inquiry into collaboration and teamwork as a fundamental value and into the emergence of strategies for inspiring groups of people in organizational, institutional, and public problem-solving and change.</w:t>
      </w:r>
    </w:p>
    <w:p w14:paraId="39DCD4DA" w14:textId="77777777" w:rsidR="00C60142" w:rsidRDefault="00C60142" w:rsidP="00C60142">
      <w:pPr>
        <w:spacing w:after="120" w:line="240" w:lineRule="auto"/>
        <w:rPr>
          <w:b/>
          <w:bCs/>
          <w:sz w:val="28"/>
          <w:szCs w:val="28"/>
        </w:rPr>
      </w:pPr>
      <w:r w:rsidRPr="68C1A729">
        <w:rPr>
          <w:rFonts w:eastAsiaTheme="minorEastAsia"/>
          <w:b/>
          <w:bCs/>
          <w:sz w:val="28"/>
          <w:szCs w:val="28"/>
        </w:rPr>
        <w:t>Scientific and Mathematical Analysis</w:t>
      </w:r>
    </w:p>
    <w:p w14:paraId="67DE86A2" w14:textId="77777777" w:rsidR="00C60142" w:rsidRDefault="00C60142" w:rsidP="00C60142">
      <w:pPr>
        <w:spacing w:after="120" w:line="240" w:lineRule="auto"/>
      </w:pPr>
      <w:r w:rsidRPr="68C1A729">
        <w:rPr>
          <w:rFonts w:eastAsiaTheme="minorEastAsia"/>
        </w:rPr>
        <w:t>Inquiry that engages in the scientific method through experimentation, that considers the history and evolution of experimentation, that considers the social impact of the scientific study of natural processes, or that uses logico-mathematical representation or modeling to understand events or phenomena.</w:t>
      </w:r>
    </w:p>
    <w:p w14:paraId="5EDFF414" w14:textId="77777777" w:rsidR="00C60142" w:rsidRDefault="00C60142" w:rsidP="00C60142">
      <w:pPr>
        <w:spacing w:after="120" w:line="240" w:lineRule="auto"/>
        <w:rPr>
          <w:b/>
          <w:bCs/>
          <w:sz w:val="28"/>
          <w:szCs w:val="28"/>
        </w:rPr>
      </w:pPr>
      <w:r w:rsidRPr="68C1A729">
        <w:rPr>
          <w:rFonts w:eastAsiaTheme="minorEastAsia"/>
          <w:b/>
          <w:bCs/>
          <w:sz w:val="28"/>
          <w:szCs w:val="28"/>
        </w:rPr>
        <w:t>Technology</w:t>
      </w:r>
    </w:p>
    <w:p w14:paraId="50A38D70" w14:textId="77777777" w:rsidR="00C60142" w:rsidRDefault="00C60142" w:rsidP="00C60142">
      <w:pPr>
        <w:spacing w:after="120" w:line="240" w:lineRule="auto"/>
      </w:pPr>
      <w:r w:rsidRPr="68C1A729">
        <w:rPr>
          <w:rFonts w:eastAsiaTheme="minorEastAsia"/>
        </w:rPr>
        <w:t>Inquiry that incorporates the use of technology, the creation of technological innovation, or new understandings of the role of technology in society.</w:t>
      </w:r>
    </w:p>
    <w:p w14:paraId="2D75EA4A" w14:textId="77777777" w:rsidR="00C60142" w:rsidRDefault="00C60142" w:rsidP="00C60142">
      <w:pPr>
        <w:spacing w:after="120" w:line="240" w:lineRule="auto"/>
        <w:rPr>
          <w:b/>
          <w:bCs/>
          <w:sz w:val="28"/>
          <w:szCs w:val="28"/>
        </w:rPr>
      </w:pPr>
      <w:r w:rsidRPr="68C1A729">
        <w:rPr>
          <w:rFonts w:eastAsiaTheme="minorEastAsia"/>
          <w:b/>
          <w:bCs/>
          <w:sz w:val="28"/>
          <w:szCs w:val="28"/>
        </w:rPr>
        <w:t>Wellness</w:t>
      </w:r>
    </w:p>
    <w:p w14:paraId="1FA9E23D" w14:textId="77777777" w:rsidR="00C60142" w:rsidRDefault="00C60142" w:rsidP="00C60142">
      <w:pPr>
        <w:spacing w:after="120" w:line="240" w:lineRule="auto"/>
      </w:pPr>
      <w:r w:rsidRPr="68C1A729">
        <w:rPr>
          <w:rFonts w:eastAsiaTheme="minorEastAsia"/>
        </w:rPr>
        <w:t>Inquiry into research, strategies, and best practices to promote the inter-relatedness of mental and physical well-being.</w:t>
      </w:r>
    </w:p>
    <w:p w14:paraId="3B39D6A1" w14:textId="77777777" w:rsidR="00D452D2" w:rsidRDefault="00D452D2" w:rsidP="000B4CF2"/>
    <w:sectPr w:rsidR="00D4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4955"/>
    <w:multiLevelType w:val="hybridMultilevel"/>
    <w:tmpl w:val="FFFFFFFF"/>
    <w:lvl w:ilvl="0" w:tplc="DA8CC7F0">
      <w:start w:val="1"/>
      <w:numFmt w:val="bullet"/>
      <w:lvlText w:val=""/>
      <w:lvlJc w:val="left"/>
      <w:pPr>
        <w:ind w:left="720" w:hanging="360"/>
      </w:pPr>
      <w:rPr>
        <w:rFonts w:ascii="Symbol" w:hAnsi="Symbol" w:hint="default"/>
      </w:rPr>
    </w:lvl>
    <w:lvl w:ilvl="1" w:tplc="D376D4A4">
      <w:start w:val="1"/>
      <w:numFmt w:val="bullet"/>
      <w:lvlText w:val="o"/>
      <w:lvlJc w:val="left"/>
      <w:pPr>
        <w:ind w:left="1440" w:hanging="360"/>
      </w:pPr>
      <w:rPr>
        <w:rFonts w:ascii="Courier New" w:hAnsi="Courier New" w:hint="default"/>
      </w:rPr>
    </w:lvl>
    <w:lvl w:ilvl="2" w:tplc="4964170C">
      <w:start w:val="1"/>
      <w:numFmt w:val="bullet"/>
      <w:lvlText w:val=""/>
      <w:lvlJc w:val="left"/>
      <w:pPr>
        <w:ind w:left="2160" w:hanging="360"/>
      </w:pPr>
      <w:rPr>
        <w:rFonts w:ascii="Wingdings" w:hAnsi="Wingdings" w:hint="default"/>
      </w:rPr>
    </w:lvl>
    <w:lvl w:ilvl="3" w:tplc="B000A68C">
      <w:start w:val="1"/>
      <w:numFmt w:val="bullet"/>
      <w:lvlText w:val=""/>
      <w:lvlJc w:val="left"/>
      <w:pPr>
        <w:ind w:left="2880" w:hanging="360"/>
      </w:pPr>
      <w:rPr>
        <w:rFonts w:ascii="Symbol" w:hAnsi="Symbol" w:hint="default"/>
      </w:rPr>
    </w:lvl>
    <w:lvl w:ilvl="4" w:tplc="D206EEDA">
      <w:start w:val="1"/>
      <w:numFmt w:val="bullet"/>
      <w:lvlText w:val="o"/>
      <w:lvlJc w:val="left"/>
      <w:pPr>
        <w:ind w:left="3600" w:hanging="360"/>
      </w:pPr>
      <w:rPr>
        <w:rFonts w:ascii="Courier New" w:hAnsi="Courier New" w:hint="default"/>
      </w:rPr>
    </w:lvl>
    <w:lvl w:ilvl="5" w:tplc="A4A626F6">
      <w:start w:val="1"/>
      <w:numFmt w:val="bullet"/>
      <w:lvlText w:val=""/>
      <w:lvlJc w:val="left"/>
      <w:pPr>
        <w:ind w:left="4320" w:hanging="360"/>
      </w:pPr>
      <w:rPr>
        <w:rFonts w:ascii="Wingdings" w:hAnsi="Wingdings" w:hint="default"/>
      </w:rPr>
    </w:lvl>
    <w:lvl w:ilvl="6" w:tplc="199829DE">
      <w:start w:val="1"/>
      <w:numFmt w:val="bullet"/>
      <w:lvlText w:val=""/>
      <w:lvlJc w:val="left"/>
      <w:pPr>
        <w:ind w:left="5040" w:hanging="360"/>
      </w:pPr>
      <w:rPr>
        <w:rFonts w:ascii="Symbol" w:hAnsi="Symbol" w:hint="default"/>
      </w:rPr>
    </w:lvl>
    <w:lvl w:ilvl="7" w:tplc="9236840A">
      <w:start w:val="1"/>
      <w:numFmt w:val="bullet"/>
      <w:lvlText w:val="o"/>
      <w:lvlJc w:val="left"/>
      <w:pPr>
        <w:ind w:left="5760" w:hanging="360"/>
      </w:pPr>
      <w:rPr>
        <w:rFonts w:ascii="Courier New" w:hAnsi="Courier New" w:hint="default"/>
      </w:rPr>
    </w:lvl>
    <w:lvl w:ilvl="8" w:tplc="0C78CC9E">
      <w:start w:val="1"/>
      <w:numFmt w:val="bullet"/>
      <w:lvlText w:val=""/>
      <w:lvlJc w:val="left"/>
      <w:pPr>
        <w:ind w:left="6480" w:hanging="360"/>
      </w:pPr>
      <w:rPr>
        <w:rFonts w:ascii="Wingdings" w:hAnsi="Wingdings" w:hint="default"/>
      </w:rPr>
    </w:lvl>
  </w:abstractNum>
  <w:num w:numId="1" w16cid:durableId="78966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77"/>
    <w:rsid w:val="000356B8"/>
    <w:rsid w:val="00054B77"/>
    <w:rsid w:val="000B4CF2"/>
    <w:rsid w:val="00102680"/>
    <w:rsid w:val="001818C0"/>
    <w:rsid w:val="00185CC4"/>
    <w:rsid w:val="00205C05"/>
    <w:rsid w:val="002852C1"/>
    <w:rsid w:val="002A45D4"/>
    <w:rsid w:val="002B5561"/>
    <w:rsid w:val="002D7DBF"/>
    <w:rsid w:val="00360844"/>
    <w:rsid w:val="00475133"/>
    <w:rsid w:val="005D2228"/>
    <w:rsid w:val="006804B6"/>
    <w:rsid w:val="006C69E4"/>
    <w:rsid w:val="00756C5E"/>
    <w:rsid w:val="0076635B"/>
    <w:rsid w:val="007A5D6F"/>
    <w:rsid w:val="007C5D59"/>
    <w:rsid w:val="0083601B"/>
    <w:rsid w:val="0085116B"/>
    <w:rsid w:val="008A434F"/>
    <w:rsid w:val="008A7B7D"/>
    <w:rsid w:val="00993915"/>
    <w:rsid w:val="00A43BCA"/>
    <w:rsid w:val="00A62C14"/>
    <w:rsid w:val="00A80E2E"/>
    <w:rsid w:val="00AA371D"/>
    <w:rsid w:val="00AE76D8"/>
    <w:rsid w:val="00AF05D1"/>
    <w:rsid w:val="00B811D0"/>
    <w:rsid w:val="00BAC6E3"/>
    <w:rsid w:val="00BD6A75"/>
    <w:rsid w:val="00C60142"/>
    <w:rsid w:val="00C93818"/>
    <w:rsid w:val="00D32493"/>
    <w:rsid w:val="00D416D0"/>
    <w:rsid w:val="00D452D2"/>
    <w:rsid w:val="00D941FC"/>
    <w:rsid w:val="00E460EE"/>
    <w:rsid w:val="00EA6737"/>
    <w:rsid w:val="00EF5080"/>
    <w:rsid w:val="00F96641"/>
    <w:rsid w:val="00FB5078"/>
    <w:rsid w:val="00FC46AD"/>
    <w:rsid w:val="00FE4A50"/>
    <w:rsid w:val="00FE764D"/>
    <w:rsid w:val="0658CE87"/>
    <w:rsid w:val="0676305F"/>
    <w:rsid w:val="0954A3F5"/>
    <w:rsid w:val="0B1A4B94"/>
    <w:rsid w:val="0DF3767D"/>
    <w:rsid w:val="14EE8127"/>
    <w:rsid w:val="177DFDE0"/>
    <w:rsid w:val="1D615787"/>
    <w:rsid w:val="27CB6E71"/>
    <w:rsid w:val="2AE9FC53"/>
    <w:rsid w:val="375C8D61"/>
    <w:rsid w:val="37AD72F9"/>
    <w:rsid w:val="39CB33B7"/>
    <w:rsid w:val="42CC4734"/>
    <w:rsid w:val="436ED1CF"/>
    <w:rsid w:val="46228251"/>
    <w:rsid w:val="4C6C9EDC"/>
    <w:rsid w:val="4D03F324"/>
    <w:rsid w:val="501C4DDD"/>
    <w:rsid w:val="50457B5F"/>
    <w:rsid w:val="5180A85C"/>
    <w:rsid w:val="5490FFC4"/>
    <w:rsid w:val="5DE881B6"/>
    <w:rsid w:val="5F912808"/>
    <w:rsid w:val="64B40DCB"/>
    <w:rsid w:val="68A514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437A"/>
  <w15:chartTrackingRefBased/>
  <w15:docId w15:val="{3A1D5DD7-586D-473C-BDC9-65093B6D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D6F"/>
    <w:pPr>
      <w:ind w:left="720"/>
      <w:contextualSpacing/>
    </w:pPr>
  </w:style>
  <w:style w:type="character" w:styleId="Hyperlink">
    <w:name w:val="Hyperlink"/>
    <w:basedOn w:val="DefaultParagraphFont"/>
    <w:uiPriority w:val="99"/>
    <w:semiHidden/>
    <w:unhideWhenUsed/>
    <w:rsid w:val="00BD6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bd304b-8862-4f0e-838c-2cf24b7779bd">
      <Terms xmlns="http://schemas.microsoft.com/office/infopath/2007/PartnerControls"/>
    </lcf76f155ced4ddcb4097134ff3c332f>
    <_ip_UnifiedCompliancePolicyProperties xmlns="http://schemas.microsoft.com/sharepoint/v3" xsi:nil="true"/>
    <TaxCatchAll xmlns="7ca9bbb1-68bf-4b1a-b58c-6d2bd975d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5DE11C82F084C8565EBF88C5D711A" ma:contentTypeVersion="17" ma:contentTypeDescription="Create a new document." ma:contentTypeScope="" ma:versionID="d409d7354cc983770967cf9d80c2be2f">
  <xsd:schema xmlns:xsd="http://www.w3.org/2001/XMLSchema" xmlns:xs="http://www.w3.org/2001/XMLSchema" xmlns:p="http://schemas.microsoft.com/office/2006/metadata/properties" xmlns:ns1="http://schemas.microsoft.com/sharepoint/v3" xmlns:ns2="03bd304b-8862-4f0e-838c-2cf24b7779bd" xmlns:ns3="7ca9bbb1-68bf-4b1a-b58c-6d2bd975d26c" targetNamespace="http://schemas.microsoft.com/office/2006/metadata/properties" ma:root="true" ma:fieldsID="53c06aa17ea8cad068d279a74de33438" ns1:_="" ns2:_="" ns3:_="">
    <xsd:import namespace="http://schemas.microsoft.com/sharepoint/v3"/>
    <xsd:import namespace="03bd304b-8862-4f0e-838c-2cf24b7779bd"/>
    <xsd:import namespace="7ca9bbb1-68bf-4b1a-b58c-6d2bd975d2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d304b-8862-4f0e-838c-2cf24b777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9bbb1-68bf-4b1a-b58c-6d2bd975d2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105cb8d-5477-4c9c-a0c3-7c1699a9d773}" ma:internalName="TaxCatchAll" ma:showField="CatchAllData" ma:web="7ca9bbb1-68bf-4b1a-b58c-6d2bd975d2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E355A-AF7D-4AEB-A1D4-1223584742D2}">
  <ds:schemaRefs>
    <ds:schemaRef ds:uri="http://schemas.microsoft.com/sharepoint/v3/contenttype/forms"/>
  </ds:schemaRefs>
</ds:datastoreItem>
</file>

<file path=customXml/itemProps2.xml><?xml version="1.0" encoding="utf-8"?>
<ds:datastoreItem xmlns:ds="http://schemas.openxmlformats.org/officeDocument/2006/customXml" ds:itemID="{47A116F9-4D41-40E9-A0D6-45D20DFE3A20}">
  <ds:schemaRefs>
    <ds:schemaRef ds:uri="http://schemas.microsoft.com/office/2006/metadata/properties"/>
    <ds:schemaRef ds:uri="http://schemas.microsoft.com/office/infopath/2007/PartnerControls"/>
    <ds:schemaRef ds:uri="http://schemas.microsoft.com/sharepoint/v3"/>
    <ds:schemaRef ds:uri="03bd304b-8862-4f0e-838c-2cf24b7779bd"/>
    <ds:schemaRef ds:uri="7ca9bbb1-68bf-4b1a-b58c-6d2bd975d26c"/>
  </ds:schemaRefs>
</ds:datastoreItem>
</file>

<file path=customXml/itemProps3.xml><?xml version="1.0" encoding="utf-8"?>
<ds:datastoreItem xmlns:ds="http://schemas.openxmlformats.org/officeDocument/2006/customXml" ds:itemID="{0A3B0C38-04A1-4624-B1F4-6E5B3BD6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bd304b-8862-4f0e-838c-2cf24b7779bd"/>
    <ds:schemaRef ds:uri="7ca9bbb1-68bf-4b1a-b58c-6d2bd975d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3825</Characters>
  <Application>Microsoft Office Word</Application>
  <DocSecurity>0</DocSecurity>
  <Lines>31</Lines>
  <Paragraphs>8</Paragraphs>
  <ScaleCrop>false</ScaleCrop>
  <Company>Western Connecticut State University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Clements</dc:creator>
  <cp:keywords/>
  <dc:description/>
  <cp:lastModifiedBy>Caitlin Kennedy</cp:lastModifiedBy>
  <cp:revision>2</cp:revision>
  <dcterms:created xsi:type="dcterms:W3CDTF">2024-11-22T17:15:00Z</dcterms:created>
  <dcterms:modified xsi:type="dcterms:W3CDTF">2024-11-22T17:15:00Z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0x0101005275DE11C82F084C8565EBF88C5D711A</vt:lpwstr>
  </property>
  <property fmtid="{D5CDD505-2E9C-101B-9397-08002B2CF9AE}" pid="3" name="MediaServiceImageTags">
    <vt:lpwstr/>
  </property>
</Properties>
</file>